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CE" w:rsidRPr="006B5853" w:rsidRDefault="007370CE" w:rsidP="00737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6B5853">
        <w:rPr>
          <w:rFonts w:ascii="Times New Roman" w:hAnsi="Times New Roman"/>
          <w:b/>
          <w:caps/>
          <w:sz w:val="28"/>
          <w:szCs w:val="28"/>
        </w:rPr>
        <w:t>М</w:t>
      </w:r>
      <w:r w:rsidRPr="006B5853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6B5853" w:rsidRPr="006B5853" w:rsidRDefault="006B5853" w:rsidP="006B5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B5853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6B585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6B5853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46047" w:rsidRDefault="00146047" w:rsidP="00146047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B4158C">
        <w:fldChar w:fldCharType="begin"/>
      </w:r>
      <w:r w:rsidR="00B4158C">
        <w:instrText xml:space="preserve"> INCLUDEPICTURE  "C:\\Users\\МетодОтдел\\Desktop\\media\\image1.jpeg" \* MERGEFORMATINET </w:instrText>
      </w:r>
      <w:r w:rsidR="00B4158C">
        <w:fldChar w:fldCharType="separate"/>
      </w:r>
      <w:r w:rsidR="00DB3999">
        <w:fldChar w:fldCharType="begin"/>
      </w:r>
      <w:r w:rsidR="00DB3999">
        <w:instrText xml:space="preserve"> </w:instrText>
      </w:r>
      <w:r w:rsidR="00DB3999">
        <w:instrText>INCLUDEPICTURE  "\\\\192.168.2.218\\общая папка\\4_ВСЕ\\Куличкина А.Е\\media\</w:instrText>
      </w:r>
      <w:r w:rsidR="00DB3999">
        <w:instrText>\image1.jpeg" \* MERGEFORMATINET</w:instrText>
      </w:r>
      <w:r w:rsidR="00DB3999">
        <w:instrText xml:space="preserve"> </w:instrText>
      </w:r>
      <w:r w:rsidR="00DB3999">
        <w:fldChar w:fldCharType="separate"/>
      </w:r>
      <w:r w:rsidR="00DB39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DB3999">
        <w:fldChar w:fldCharType="end"/>
      </w:r>
      <w:r w:rsidR="00B4158C">
        <w:fldChar w:fldCharType="end"/>
      </w:r>
      <w:r>
        <w:fldChar w:fldCharType="end"/>
      </w:r>
    </w:p>
    <w:p w:rsidR="004E4E4A" w:rsidRDefault="004E4E4A" w:rsidP="004E4E4A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1A3F37" w:rsidRPr="006B585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6B585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6B585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6B5853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6B5853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6B5853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5F216C" w:rsidRPr="006B5853" w:rsidRDefault="005F216C" w:rsidP="005F216C">
      <w:pPr>
        <w:spacing w:after="0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853">
        <w:rPr>
          <w:rFonts w:ascii="Times New Roman" w:hAnsi="Times New Roman"/>
          <w:b/>
          <w:sz w:val="28"/>
          <w:szCs w:val="28"/>
        </w:rPr>
        <w:t xml:space="preserve">ОП.02 ОРГАНИЗАЦИОННО-ПРАВОВОЕ ОБЕСПЕЧЕНИЕ </w:t>
      </w:r>
      <w:r w:rsidRPr="006B5853">
        <w:rPr>
          <w:rFonts w:ascii="Times New Roman" w:hAnsi="Times New Roman"/>
          <w:b/>
          <w:sz w:val="28"/>
          <w:szCs w:val="28"/>
        </w:rPr>
        <w:br/>
        <w:t>ИНФОРМАЦИОННОЙ БЕЗОПАСНОСТИ</w:t>
      </w:r>
    </w:p>
    <w:p w:rsidR="005F216C" w:rsidRPr="006B5853" w:rsidRDefault="005F216C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3F37" w:rsidRPr="006B5853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B5853">
        <w:rPr>
          <w:rFonts w:ascii="Times New Roman" w:hAnsi="Times New Roman"/>
          <w:b/>
          <w:sz w:val="28"/>
          <w:szCs w:val="28"/>
          <w:lang w:eastAsia="en-US"/>
        </w:rPr>
        <w:t>УГС: 10.00.00 Информационная безопасность</w:t>
      </w: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B5853">
        <w:rPr>
          <w:rFonts w:ascii="Times New Roman" w:hAnsi="Times New Roman"/>
          <w:b/>
          <w:sz w:val="28"/>
          <w:szCs w:val="28"/>
        </w:rPr>
        <w:t>Специальность:</w:t>
      </w:r>
      <w:r w:rsidRPr="006B5853">
        <w:rPr>
          <w:sz w:val="28"/>
          <w:szCs w:val="28"/>
        </w:rPr>
        <w:t xml:space="preserve"> </w:t>
      </w:r>
      <w:r w:rsidRPr="006B5853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</w:p>
    <w:p w:rsidR="001A3F37" w:rsidRPr="006B5853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5853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6B5853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6B585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6B5853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6B5853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6B5853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853">
        <w:rPr>
          <w:rFonts w:ascii="Times New Roman" w:hAnsi="Times New Roman"/>
          <w:b/>
          <w:bCs/>
          <w:sz w:val="28"/>
          <w:szCs w:val="28"/>
        </w:rPr>
        <w:t>2020</w:t>
      </w:r>
      <w:r w:rsidR="002321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5853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5F216C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F216C">
        <w:rPr>
          <w:rFonts w:ascii="Times New Roman" w:hAnsi="Times New Roman"/>
          <w:sz w:val="24"/>
          <w:szCs w:val="24"/>
        </w:rPr>
        <w:br w:type="page"/>
      </w:r>
      <w:r w:rsidRPr="005F216C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5F216C">
        <w:rPr>
          <w:rFonts w:ascii="Times New Roman" w:hAnsi="Times New Roman"/>
          <w:sz w:val="28"/>
          <w:szCs w:val="28"/>
        </w:rPr>
        <w:t>учебной дисциплины</w:t>
      </w:r>
      <w:r w:rsidRPr="005F216C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5F216C">
        <w:rPr>
          <w:rFonts w:ascii="Times New Roman" w:hAnsi="Times New Roman"/>
          <w:sz w:val="28"/>
          <w:szCs w:val="28"/>
        </w:rPr>
        <w:t>стандарта (</w:t>
      </w:r>
      <w:r w:rsidRPr="005F216C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631069" w:rsidRPr="005F216C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  <w:r w:rsidRPr="005F216C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5F216C">
        <w:rPr>
          <w:rFonts w:ascii="Times New Roman" w:hAnsi="Times New Roman"/>
          <w:sz w:val="28"/>
          <w:szCs w:val="28"/>
        </w:rPr>
        <w:t>09.12.2016</w:t>
      </w:r>
      <w:r w:rsidRPr="005F216C">
        <w:rPr>
          <w:rFonts w:ascii="Times New Roman" w:hAnsi="Times New Roman"/>
          <w:sz w:val="28"/>
          <w:szCs w:val="28"/>
        </w:rPr>
        <w:t xml:space="preserve"> № </w:t>
      </w:r>
      <w:r w:rsidR="007018D3" w:rsidRPr="005F216C">
        <w:rPr>
          <w:rFonts w:ascii="Times New Roman" w:hAnsi="Times New Roman"/>
          <w:sz w:val="28"/>
          <w:szCs w:val="28"/>
        </w:rPr>
        <w:t>1553</w:t>
      </w:r>
      <w:r w:rsidRPr="005F216C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5F216C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5F216C">
        <w:rPr>
          <w:rFonts w:ascii="Times New Roman" w:hAnsi="Times New Roman"/>
          <w:sz w:val="28"/>
          <w:szCs w:val="28"/>
        </w:rPr>
        <w:t>.00.00</w:t>
      </w:r>
      <w:r w:rsidRPr="005F216C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5F216C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5F216C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5F216C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5F216C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5F216C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F216C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5F216C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E0167" w:rsidRPr="00DB3999" w:rsidRDefault="004E0167" w:rsidP="004E0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DB3999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4E0167" w:rsidRPr="00DB3999" w:rsidRDefault="004E0167" w:rsidP="004E0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B3999">
        <w:rPr>
          <w:rFonts w:ascii="Times New Roman" w:hAnsi="Times New Roman"/>
          <w:sz w:val="28"/>
          <w:szCs w:val="28"/>
        </w:rPr>
        <w:t>Крымова О.В., преподаватель специальных дисциплин ГАПОУ РС (Я) «Колледж связи и энергетики им. П.И. Дудкина»</w:t>
      </w:r>
    </w:p>
    <w:p w:rsidR="004E0167" w:rsidRPr="00DB3999" w:rsidRDefault="004E0167" w:rsidP="004E0167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E0167" w:rsidRPr="00DB3999" w:rsidRDefault="004E0167" w:rsidP="004E0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3999">
        <w:rPr>
          <w:rFonts w:ascii="Times New Roman" w:hAnsi="Times New Roman"/>
          <w:sz w:val="28"/>
          <w:szCs w:val="28"/>
        </w:rPr>
        <w:t>Рассмотрена и рекомендована ПЦК ИТ</w:t>
      </w:r>
    </w:p>
    <w:p w:rsidR="004E0167" w:rsidRPr="00DB3999" w:rsidRDefault="004E0167" w:rsidP="004E0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3999">
        <w:rPr>
          <w:rFonts w:ascii="Times New Roman" w:hAnsi="Times New Roman"/>
          <w:sz w:val="28"/>
          <w:szCs w:val="28"/>
        </w:rPr>
        <w:t>Протокол № 1 от «28» Сентября 2020 г.</w:t>
      </w:r>
    </w:p>
    <w:p w:rsidR="004E0167" w:rsidRPr="00DB3999" w:rsidRDefault="004E0167" w:rsidP="004E016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B3999">
        <w:rPr>
          <w:rFonts w:ascii="Times New Roman" w:hAnsi="Times New Roman"/>
          <w:sz w:val="28"/>
          <w:szCs w:val="28"/>
        </w:rPr>
        <w:t>Председатель ПЦК ИТ______________ /Иванова С.К./</w:t>
      </w:r>
    </w:p>
    <w:p w:rsidR="001A3F37" w:rsidRPr="00DB3999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0167" w:rsidRPr="005F216C" w:rsidRDefault="004E016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ДИСЦИПЛИНЫОП.02 ОРГАНИЗАЦИОННО-ПРАВОВОЕ ОБЕСПЕЧЕНИЕ ИНФОРМАЦИОННОЙ БЕЗОПАСНОСТИ</w:t>
      </w:r>
    </w:p>
    <w:p w:rsidR="005F216C" w:rsidRPr="005F216C" w:rsidRDefault="005F216C" w:rsidP="005F216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5F216C" w:rsidRPr="005F216C" w:rsidRDefault="005F216C" w:rsidP="005F216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>Дисциплина ОП.02 Организационно-правовое обеспечение информационной безопасности входит в общепрофессиональный цикл, является дисциплиной, закладывающей базу для последующего изучения профессиональных модулей: ПМ.01 Эксплуатация автоматизированных (информационных) систем в защищённом исполнении, ПМ.02 Защита информации в автоматизированных системах программными и программно-аппаратными средствами, ПМ.03 Защита информации техническими средствами.</w:t>
      </w:r>
    </w:p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090"/>
        <w:gridCol w:w="5670"/>
      </w:tblGrid>
      <w:tr w:rsidR="005F216C" w:rsidRPr="005F216C" w:rsidTr="003C5D6E">
        <w:trPr>
          <w:trHeight w:val="649"/>
        </w:trPr>
        <w:tc>
          <w:tcPr>
            <w:tcW w:w="1129" w:type="dxa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090" w:type="dxa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670" w:type="dxa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F216C" w:rsidRPr="005F216C" w:rsidTr="003C5D6E">
        <w:trPr>
          <w:trHeight w:val="212"/>
        </w:trPr>
        <w:tc>
          <w:tcPr>
            <w:tcW w:w="1129" w:type="dxa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01, 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04,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9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ПК 1.4,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ПК 2.1,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ПК 2.4, 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3.2,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3.5</w:t>
            </w:r>
          </w:p>
        </w:tc>
        <w:tc>
          <w:tcPr>
            <w:tcW w:w="3090" w:type="dxa"/>
          </w:tcPr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осуществлять организационное обеспечение информационной безопасности автоматизированных (информационных) систем в рамках должностных обязанностей техника по защите информации;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применять нормативные правовые акты и нормативные методические документы в области защиты информации;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контролировать соблюдение персоналом требований по защите информации при ее обработке с использованием средств вычислительной техники;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 xml:space="preserve">– оформлять документацию по регламентации мероприятий и оказанию услуг в области защиты </w:t>
            </w:r>
            <w:r w:rsidRPr="005F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защищать свои права в соответствии с трудовым законодательством</w:t>
            </w:r>
          </w:p>
        </w:tc>
        <w:tc>
          <w:tcPr>
            <w:tcW w:w="5670" w:type="dxa"/>
          </w:tcPr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основные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правовые основы организации защиты информации, содержащей сведения, составляющие государственную тайну и информации конфиденциального характера, задачи органов защиты государственной тайны;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нормативные документы в области обеспечения защиты информации ограниченного доступа;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организацию ремонтного обслуживания аппаратуры и средств защиты информации;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принципы и методы организационной защиты информации, организационное обеспечение информационной безопасности в организации;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правовое положение субъектов правоотношений в сфере профессиональной деятельности (включая предпринимательскую деятельность);</w:t>
            </w:r>
          </w:p>
          <w:p w:rsidR="005F216C" w:rsidRPr="005F216C" w:rsidRDefault="005F216C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нормативные методические документы, регламентирующие порядок выполнения мероприятий по защите информации, обрабатываемой в автоматизированной </w:t>
            </w:r>
            <w:r w:rsidRPr="005F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(информационной) системе;</w:t>
            </w:r>
          </w:p>
          <w:p w:rsidR="005F216C" w:rsidRPr="005F216C" w:rsidRDefault="005F216C" w:rsidP="003C5D6E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– законодательные и нормативные правовые акты, регламентирующие трудовые правоотношения.</w:t>
            </w:r>
          </w:p>
          <w:p w:rsidR="005F216C" w:rsidRPr="005F216C" w:rsidRDefault="005F216C" w:rsidP="003C5D6E">
            <w:pPr>
              <w:tabs>
                <w:tab w:val="left" w:pos="647"/>
              </w:tabs>
              <w:spacing w:after="0"/>
              <w:ind w:left="5" w:firstLine="43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216C" w:rsidRPr="005F216C" w:rsidRDefault="005F216C" w:rsidP="005F216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br w:type="page"/>
      </w:r>
      <w:r w:rsidRPr="005F216C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7"/>
        <w:gridCol w:w="1725"/>
      </w:tblGrid>
      <w:tr w:rsidR="005F216C" w:rsidRPr="005F216C" w:rsidTr="003C5D6E">
        <w:trPr>
          <w:trHeight w:val="490"/>
        </w:trPr>
        <w:tc>
          <w:tcPr>
            <w:tcW w:w="4073" w:type="pct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gridSpan w:val="2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5F216C" w:rsidRPr="005F216C" w:rsidTr="003C5D6E">
        <w:trPr>
          <w:trHeight w:val="490"/>
        </w:trPr>
        <w:tc>
          <w:tcPr>
            <w:tcW w:w="4073" w:type="pct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27" w:type="pct"/>
            <w:gridSpan w:val="2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iCs/>
                <w:sz w:val="24"/>
                <w:szCs w:val="24"/>
              </w:rPr>
              <w:t>96</w:t>
            </w:r>
          </w:p>
        </w:tc>
      </w:tr>
      <w:tr w:rsidR="005F216C" w:rsidRPr="005F216C" w:rsidTr="003C5D6E">
        <w:trPr>
          <w:trHeight w:val="490"/>
        </w:trPr>
        <w:tc>
          <w:tcPr>
            <w:tcW w:w="5000" w:type="pct"/>
            <w:gridSpan w:val="3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F216C" w:rsidRPr="005F216C" w:rsidTr="003C5D6E">
        <w:trPr>
          <w:trHeight w:val="490"/>
        </w:trPr>
        <w:tc>
          <w:tcPr>
            <w:tcW w:w="4073" w:type="pct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gridSpan w:val="2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</w:tr>
      <w:tr w:rsidR="005F216C" w:rsidRPr="005F216C" w:rsidTr="003C5D6E">
        <w:trPr>
          <w:trHeight w:val="490"/>
        </w:trPr>
        <w:tc>
          <w:tcPr>
            <w:tcW w:w="4073" w:type="pct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gridSpan w:val="2"/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5F216C" w:rsidRPr="005F216C" w:rsidTr="003C5D6E">
        <w:trPr>
          <w:trHeight w:val="490"/>
        </w:trPr>
        <w:tc>
          <w:tcPr>
            <w:tcW w:w="4076" w:type="pct"/>
            <w:gridSpan w:val="2"/>
            <w:tcBorders>
              <w:right w:val="single" w:sz="4" w:space="0" w:color="auto"/>
            </w:tcBorders>
            <w:vAlign w:val="center"/>
          </w:tcPr>
          <w:p w:rsidR="005F216C" w:rsidRPr="005F216C" w:rsidRDefault="005F216C" w:rsidP="004E01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4" w:type="pct"/>
            <w:tcBorders>
              <w:left w:val="single" w:sz="4" w:space="0" w:color="auto"/>
            </w:tcBorders>
            <w:vAlign w:val="center"/>
          </w:tcPr>
          <w:p w:rsidR="005F216C" w:rsidRPr="005F216C" w:rsidRDefault="005F21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rPr>
          <w:rFonts w:ascii="Times New Roman" w:hAnsi="Times New Roman"/>
          <w:sz w:val="24"/>
          <w:szCs w:val="24"/>
        </w:rPr>
        <w:sectPr w:rsidR="005F216C" w:rsidRPr="005F216C" w:rsidSect="00DF27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216C" w:rsidRPr="005F216C" w:rsidRDefault="005F216C" w:rsidP="005F216C">
      <w:pPr>
        <w:spacing w:after="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«Организационно-правовое обеспечение информационной безопасности»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9339"/>
        <w:gridCol w:w="7"/>
        <w:gridCol w:w="1187"/>
        <w:gridCol w:w="6"/>
        <w:gridCol w:w="1705"/>
      </w:tblGrid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39" w:type="dxa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11" w:type="dxa"/>
            <w:gridSpan w:val="2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F216C" w:rsidRPr="005F216C" w:rsidTr="003C5D6E">
        <w:trPr>
          <w:cantSplit/>
          <w:trHeight w:val="186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iCs/>
                <w:szCs w:val="24"/>
              </w:rPr>
            </w:pPr>
            <w:r w:rsidRPr="005F216C">
              <w:rPr>
                <w:b/>
                <w:bCs/>
                <w:iCs/>
                <w:szCs w:val="24"/>
              </w:rPr>
              <w:t>Введение</w:t>
            </w: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</w:t>
            </w:r>
          </w:p>
        </w:tc>
      </w:tr>
      <w:tr w:rsidR="005F216C" w:rsidRPr="005F216C" w:rsidTr="003C5D6E">
        <w:trPr>
          <w:cantSplit/>
          <w:trHeight w:val="690"/>
          <w:tblHeader/>
        </w:trPr>
        <w:tc>
          <w:tcPr>
            <w:tcW w:w="2606" w:type="dxa"/>
            <w:vMerge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iCs/>
                <w:szCs w:val="24"/>
              </w:rPr>
            </w:pP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Основные правовые понятия. Источники права. Основы государственного устройства РФ.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11952" w:type="dxa"/>
            <w:gridSpan w:val="3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Правовое обеспечение информационной безопасности</w:t>
            </w:r>
          </w:p>
        </w:tc>
        <w:tc>
          <w:tcPr>
            <w:tcW w:w="1193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05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70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25"/>
            </w:pPr>
            <w:r w:rsidRPr="005F216C">
              <w:rPr>
                <w:b/>
              </w:rPr>
              <w:t>Тема 1.1</w:t>
            </w:r>
            <w:r w:rsidRPr="005F216C">
              <w:t xml:space="preserve"> Введение в правовое обеспечение информационной безопасности</w:t>
            </w: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141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Информационная безопасность государства. Нормативные правовые акты Российской Федерации в области информации, информационных технологий и защиты информации. Конституционные права граждан на информацию и возможности их ограничения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196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1.2 </w:t>
            </w:r>
            <w:r w:rsidRPr="005F216C">
              <w:rPr>
                <w:szCs w:val="24"/>
              </w:rPr>
              <w:t>Государственная система защиты информации в Российской Федерации, ее организационная структура и функции</w:t>
            </w:r>
          </w:p>
        </w:tc>
        <w:tc>
          <w:tcPr>
            <w:tcW w:w="9339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 xml:space="preserve">ОК 06, </w:t>
            </w:r>
            <w:r w:rsidRPr="005F21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F216C" w:rsidRPr="005F216C" w:rsidTr="003C5D6E">
        <w:trPr>
          <w:cantSplit/>
          <w:trHeight w:val="1206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9" w:type="dxa"/>
          </w:tcPr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-1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Государственная система защиты информации в Российской Федерации, ее организационная структура и функции. Федеральная служба безопасности Российской Федерации, ее задачи и функции в области защиты информации и информационной безопасности.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  <w:lang w:eastAsia="en-US"/>
              </w:rPr>
              <w:t>Федеральная служба по техническому и экспортному контролю, ее задачи, полномочия и права в области защиты информации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216C" w:rsidRPr="005F216C" w:rsidRDefault="005F216C" w:rsidP="005F216C"/>
    <w:p w:rsidR="005F216C" w:rsidRPr="005F216C" w:rsidRDefault="005F216C" w:rsidP="005F216C">
      <w:pPr>
        <w:spacing w:after="0" w:line="240" w:lineRule="auto"/>
      </w:pPr>
      <w:r w:rsidRPr="005F216C"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9322"/>
        <w:gridCol w:w="17"/>
        <w:gridCol w:w="7"/>
        <w:gridCol w:w="1187"/>
        <w:gridCol w:w="6"/>
        <w:gridCol w:w="1705"/>
      </w:tblGrid>
      <w:tr w:rsidR="005F216C" w:rsidRPr="005F216C" w:rsidTr="003C5D6E">
        <w:trPr>
          <w:cantSplit/>
          <w:trHeight w:val="407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iCs/>
                <w:szCs w:val="24"/>
              </w:rPr>
            </w:pPr>
            <w:r w:rsidRPr="005F216C">
              <w:rPr>
                <w:b/>
                <w:bCs/>
                <w:szCs w:val="24"/>
              </w:rPr>
              <w:lastRenderedPageBreak/>
              <w:t xml:space="preserve">Тема 1.3 </w:t>
            </w:r>
            <w:r w:rsidRPr="005F216C">
              <w:rPr>
                <w:szCs w:val="24"/>
              </w:rPr>
              <w:t>Информация как объект правового регулирования</w:t>
            </w: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Pr="005F216C">
              <w:rPr>
                <w:rFonts w:ascii="Times New Roman" w:hAnsi="Times New Roman" w:cs="Times New Roman"/>
                <w:sz w:val="24"/>
                <w:szCs w:val="24"/>
              </w:rPr>
              <w:br/>
              <w:t>ПК 2.4</w:t>
            </w:r>
          </w:p>
        </w:tc>
      </w:tr>
      <w:tr w:rsidR="005F216C" w:rsidRPr="005F216C" w:rsidTr="003C5D6E">
        <w:trPr>
          <w:cantSplit/>
          <w:trHeight w:val="1074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Информация как объект правовых отношений. Субъекты и объекты правовых отношений в информационной сфере.</w:t>
            </w:r>
          </w:p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Виды информации по законодательству Российской Федерации.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Нормы законодательства Российской Федерации, определяющие защиту информации.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8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83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1.Работа с нормативными документами</w:t>
            </w:r>
          </w:p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2. Защита информации, содержащейся в информационных системах общего пользования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84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iCs/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1.4 </w:t>
            </w:r>
            <w:r w:rsidRPr="005F216C">
              <w:rPr>
                <w:szCs w:val="24"/>
              </w:rPr>
              <w:t>Правовой режим защиты государственной тайны</w:t>
            </w: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</w:t>
            </w:r>
          </w:p>
        </w:tc>
      </w:tr>
      <w:tr w:rsidR="005F216C" w:rsidRPr="005F216C" w:rsidTr="003C5D6E">
        <w:trPr>
          <w:cantSplit/>
          <w:trHeight w:val="1036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pStyle w:val="32"/>
              <w:widowControl w:val="0"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Государственная тайна как особый вид защищаемой информации. Законодательство Российской Федерации в области защиты государственной тайны.</w:t>
            </w:r>
          </w:p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Основные понятия, используемые в Законе Российской Федерации «О государственной тайне», и их определения. Степени секретности сведений, составляющих государственную тайну. Отнесение сведений к государственной тайне. Засекречивание и рассекречивание.</w:t>
            </w:r>
          </w:p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Документирование сведений, составляющих государственную тайну. Реквизиты носителей сведений, составляющих государственную тайну.</w:t>
            </w:r>
          </w:p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 xml:space="preserve">Допуск к государственной тайне и доступ к сведениям, составляющим государственную тайну. </w:t>
            </w:r>
          </w:p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35"/>
              </w:tabs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Органы защиты государственной тайны в Российской  Федерации.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</w:rPr>
              <w:t>Ответственность за нарушения правового режима защиты           государственной тайны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302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 w:rsidRPr="005F216C">
              <w:rPr>
                <w:rFonts w:ascii="Times New Roman" w:hAnsi="Times New Roman"/>
                <w:sz w:val="24"/>
                <w:szCs w:val="24"/>
              </w:rPr>
              <w:t>Правовые режимы защиты конфиденциальной информации</w:t>
            </w: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  <w:r w:rsidRPr="005F216C">
              <w:rPr>
                <w:rFonts w:ascii="Times New Roman" w:hAnsi="Times New Roman"/>
                <w:sz w:val="24"/>
                <w:szCs w:val="24"/>
              </w:rPr>
              <w:br/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2.4</w:t>
            </w:r>
          </w:p>
        </w:tc>
      </w:tr>
      <w:tr w:rsidR="005F216C" w:rsidRPr="005F216C" w:rsidTr="003C5D6E">
        <w:trPr>
          <w:cantSplit/>
          <w:trHeight w:val="1065"/>
          <w:tblHeader/>
        </w:trPr>
        <w:tc>
          <w:tcPr>
            <w:tcW w:w="2606" w:type="dxa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pStyle w:val="32"/>
              <w:widowControl w:val="0"/>
              <w:tabs>
                <w:tab w:val="right" w:leader="dot" w:pos="3161"/>
              </w:tabs>
              <w:spacing w:line="276" w:lineRule="auto"/>
              <w:ind w:left="11"/>
              <w:contextualSpacing/>
              <w:rPr>
                <w:sz w:val="24"/>
                <w:szCs w:val="24"/>
              </w:rPr>
            </w:pPr>
            <w:r w:rsidRPr="005F216C">
              <w:rPr>
                <w:sz w:val="24"/>
                <w:szCs w:val="24"/>
              </w:rPr>
              <w:t>Законодательство Российской Федерации в области защиты конфиденциальной информации. Виды конфиденциальной информации по законодательству Российской Федерации. Отнесение сведений к конфиденциальной информации.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</w:rPr>
              <w:t>Нормативно-правовое содержание Федерального закона «О       персональных данных». Документирование сведений конфиденциального характера. Защита конфиденциальной информации. Ответственность за нарушение режима защиты  конфиденциальной  информации.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87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1532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Разработка базового блока документов для обеспечения информационной безопасности ИСПДн:</w:t>
            </w:r>
          </w:p>
          <w:p w:rsidR="005F216C" w:rsidRPr="005F216C" w:rsidRDefault="005F216C" w:rsidP="003C5D6E">
            <w:pPr>
              <w:pStyle w:val="a9"/>
              <w:shd w:val="clear" w:color="auto" w:fill="FFFFFF"/>
              <w:spacing w:line="276" w:lineRule="auto"/>
              <w:contextualSpacing/>
              <w:textAlignment w:val="baseline"/>
              <w:rPr>
                <w:szCs w:val="24"/>
                <w:lang w:val="ru-RU"/>
              </w:rPr>
            </w:pPr>
            <w:r w:rsidRPr="005F216C">
              <w:rPr>
                <w:szCs w:val="24"/>
                <w:lang w:val="ru-RU"/>
              </w:rPr>
              <w:t>1. Составление перечня ПДн,</w:t>
            </w:r>
          </w:p>
          <w:p w:rsidR="005F216C" w:rsidRPr="005F216C" w:rsidRDefault="005F216C" w:rsidP="003C5D6E">
            <w:pPr>
              <w:pStyle w:val="a9"/>
              <w:shd w:val="clear" w:color="auto" w:fill="FFFFFF"/>
              <w:spacing w:line="276" w:lineRule="auto"/>
              <w:contextualSpacing/>
              <w:textAlignment w:val="baseline"/>
              <w:rPr>
                <w:szCs w:val="24"/>
                <w:lang w:val="ru-RU"/>
              </w:rPr>
            </w:pPr>
            <w:r w:rsidRPr="005F216C">
              <w:rPr>
                <w:szCs w:val="24"/>
                <w:lang w:val="ru-RU"/>
              </w:rPr>
              <w:t>2. Составление перечня защищаемых ресурсов ПДн,</w:t>
            </w:r>
          </w:p>
          <w:p w:rsidR="005F216C" w:rsidRPr="005F216C" w:rsidRDefault="005F216C" w:rsidP="003C5D6E">
            <w:pPr>
              <w:pStyle w:val="a9"/>
              <w:shd w:val="clear" w:color="auto" w:fill="FFFFFF"/>
              <w:spacing w:line="276" w:lineRule="auto"/>
              <w:contextualSpacing/>
              <w:textAlignment w:val="baseline"/>
              <w:rPr>
                <w:b/>
                <w:bCs/>
                <w:szCs w:val="24"/>
                <w:lang w:val="ru-RU"/>
              </w:rPr>
            </w:pPr>
            <w:r w:rsidRPr="005F216C">
              <w:rPr>
                <w:szCs w:val="24"/>
                <w:lang w:val="ru-RU"/>
              </w:rPr>
              <w:t xml:space="preserve">3. Классификация ИСПДн.  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11952" w:type="dxa"/>
            <w:gridSpan w:val="4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 Лицензирование и сертификация в области защиты информации</w:t>
            </w:r>
          </w:p>
        </w:tc>
        <w:tc>
          <w:tcPr>
            <w:tcW w:w="1193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iCs/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2.1 </w:t>
            </w:r>
            <w:r w:rsidRPr="005F216C">
              <w:rPr>
                <w:szCs w:val="24"/>
              </w:rPr>
              <w:t>Лицензирование деятельности в области защиты информации</w:t>
            </w: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2.4, ПК 3.2,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3.5</w:t>
            </w:r>
          </w:p>
        </w:tc>
      </w:tr>
      <w:tr w:rsidR="005F216C" w:rsidRPr="005F216C" w:rsidTr="003C5D6E">
        <w:trPr>
          <w:cantSplit/>
          <w:trHeight w:val="598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Основные  понятия  в  области лицензирования и их определения. Нормативные правовые акты, регламентирующие  лицензирование деятельности в области защиты информации. Виды деятельности в области защиты информации, подлежащие лицензированию. Участники лицензионных отношений в области защиты информации. Порядок получения лицензий на деятельность в области защиты информации. 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113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33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630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Подготовка документов к получению лицензии</w:t>
            </w:r>
            <w:r w:rsidRPr="005F216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2.2 </w:t>
            </w:r>
          </w:p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szCs w:val="24"/>
              </w:rPr>
            </w:pPr>
            <w:r w:rsidRPr="005F216C">
              <w:rPr>
                <w:szCs w:val="24"/>
              </w:rPr>
              <w:t>Сертификация и аттестация по требованиям безопасности информации</w:t>
            </w: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1, 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2.4, ПК 3.2,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3.5</w:t>
            </w: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Аттестация объектов информатизации по требованиям безопасности информации. Основные понятия в области аттестации по требованиям безопасности информации и их определения. Системы сертификации средств защиты информации по требованиям безопасности информации</w:t>
            </w:r>
          </w:p>
        </w:tc>
        <w:tc>
          <w:tcPr>
            <w:tcW w:w="1194" w:type="dxa"/>
            <w:gridSpan w:val="2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65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621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</w:tcPr>
          <w:p w:rsidR="005F216C" w:rsidRPr="005F216C" w:rsidRDefault="005F216C" w:rsidP="003C5D6E">
            <w:pPr>
              <w:widowControl w:val="0"/>
              <w:tabs>
                <w:tab w:val="right" w:leader="dot" w:pos="3161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F216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 Подготовки документов к сертификации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Подготовка документов к аттестации объектов информатизации</w:t>
            </w:r>
          </w:p>
        </w:tc>
        <w:tc>
          <w:tcPr>
            <w:tcW w:w="1194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11928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Организационное обеспечение информационной безопасности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11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szCs w:val="24"/>
                <w:lang w:eastAsia="en-US"/>
              </w:rPr>
            </w:pPr>
            <w:r w:rsidRPr="005F216C">
              <w:rPr>
                <w:b/>
                <w:bCs/>
                <w:szCs w:val="24"/>
              </w:rPr>
              <w:t xml:space="preserve">Тема 3.1  </w:t>
            </w:r>
            <w:r w:rsidRPr="005F216C">
              <w:rPr>
                <w:szCs w:val="24"/>
                <w:lang w:eastAsia="en-US"/>
              </w:rPr>
              <w:t xml:space="preserve">Допуск лиц и сотрудников к сведениям, составляющим государственную тайну и конфиденциальную </w:t>
            </w:r>
            <w:r w:rsidRPr="005F216C">
              <w:rPr>
                <w:szCs w:val="24"/>
                <w:lang w:eastAsia="en-US"/>
              </w:rPr>
              <w:lastRenderedPageBreak/>
              <w:t>информацию</w:t>
            </w: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  <w:r w:rsidRPr="005F216C">
              <w:rPr>
                <w:rFonts w:ascii="Times New Roman" w:hAnsi="Times New Roman"/>
                <w:sz w:val="24"/>
                <w:szCs w:val="24"/>
              </w:rPr>
              <w:br/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04,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2.4</w:t>
            </w:r>
          </w:p>
        </w:tc>
      </w:tr>
      <w:tr w:rsidR="005F216C" w:rsidRPr="005F216C" w:rsidTr="003C5D6E">
        <w:trPr>
          <w:cantSplit/>
          <w:trHeight w:val="915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Особенности подбора персонала на должности, связанные с работой с конфиденциальной информацией. Должности, составляющие с точки зрения защиты информации «группы риска». 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943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Понятие «допуск». Формы допусков, их назначение и классификация. Номенклатура должностей работников, подлежащих оформлению на допуск и порядок ее составления, утверждения.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444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Работа по обучению персонала, допускаемому к конфиденциальной информации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trHeight w:val="283"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bCs/>
                <w:szCs w:val="24"/>
              </w:rPr>
            </w:pPr>
            <w:r w:rsidRPr="005F216C">
              <w:rPr>
                <w:b/>
                <w:bCs/>
                <w:szCs w:val="24"/>
              </w:rPr>
              <w:lastRenderedPageBreak/>
              <w:t>Тема 3.2</w:t>
            </w:r>
            <w:r w:rsidRPr="005F216C">
              <w:rPr>
                <w:bCs/>
                <w:szCs w:val="24"/>
              </w:rPr>
              <w:t xml:space="preserve"> Организация пропускного и внутриобъектового режимов</w:t>
            </w: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2"/>
            <w:vMerge w:val="restart"/>
            <w:shd w:val="clear" w:color="auto" w:fill="FFFFFF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  <w:r w:rsidRPr="005F216C">
              <w:rPr>
                <w:rFonts w:ascii="Times New Roman" w:hAnsi="Times New Roman"/>
                <w:sz w:val="24"/>
                <w:szCs w:val="24"/>
              </w:rPr>
              <w:br/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04,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2.4,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3.5</w:t>
            </w:r>
          </w:p>
        </w:tc>
      </w:tr>
      <w:tr w:rsidR="005F216C" w:rsidRPr="005F216C" w:rsidTr="003C5D6E">
        <w:trPr>
          <w:trHeight w:val="346"/>
        </w:trPr>
        <w:tc>
          <w:tcPr>
            <w:tcW w:w="2606" w:type="dxa"/>
            <w:vMerge/>
          </w:tcPr>
          <w:p w:rsidR="005F216C" w:rsidRPr="005F216C" w:rsidRDefault="005F216C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9322" w:type="dxa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1. Понятие «охрана». Организация охраны территории, зданий, помещений и персонала. Цели и задачи охраны. Объекты охраны. Виды и способы охраны.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gridSpan w:val="2"/>
            <w:vMerge/>
            <w:shd w:val="clear" w:color="auto" w:fill="FFFFFF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trHeight w:val="1589"/>
        </w:trPr>
        <w:tc>
          <w:tcPr>
            <w:tcW w:w="2606" w:type="dxa"/>
            <w:vMerge/>
          </w:tcPr>
          <w:p w:rsidR="005F216C" w:rsidRPr="005F216C" w:rsidRDefault="005F216C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9322" w:type="dxa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2. Понятие пропускного режима. Цели и задачи пропускного режима. Организация пропускного режима. Основные положения инструкции об организации пропускного режима и работе бюро пропусков. Понятие пропуска. Понятие внутриобъектового режима. Общие требования внутриобъектового режима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trHeight w:val="695"/>
        </w:trPr>
        <w:tc>
          <w:tcPr>
            <w:tcW w:w="2606" w:type="dxa"/>
            <w:vMerge/>
          </w:tcPr>
          <w:p w:rsidR="005F216C" w:rsidRPr="005F216C" w:rsidRDefault="005F216C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9322" w:type="dxa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Требования к помещениям, в которых ведутся работы с конфиденциальной информацией, конфиденциальные переговоры.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188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3.3 </w:t>
            </w:r>
            <w:r w:rsidRPr="005F216C">
              <w:rPr>
                <w:szCs w:val="24"/>
              </w:rPr>
              <w:t>Организация ремонтного обслуживания аппаратуры и средств защиты</w:t>
            </w: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 xml:space="preserve">ОК 01, </w:t>
            </w:r>
            <w:r w:rsidRPr="005F216C">
              <w:rPr>
                <w:rFonts w:ascii="Times New Roman" w:hAnsi="Times New Roman"/>
                <w:sz w:val="24"/>
                <w:szCs w:val="24"/>
              </w:rPr>
              <w:br/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 1.3, ПК 2.4</w:t>
            </w:r>
          </w:p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5F216C" w:rsidRPr="005F216C" w:rsidTr="003C5D6E">
        <w:trPr>
          <w:cantSplit/>
          <w:trHeight w:val="133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2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Изъятие компьютерной техники и носителей информации. Инструкция изъятия компьютерной техники.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</w:rPr>
              <w:t>Исследование компьютерной техники и носителей информации. Оформление результатов исследования</w:t>
            </w:r>
          </w:p>
        </w:tc>
        <w:tc>
          <w:tcPr>
            <w:tcW w:w="1211" w:type="dxa"/>
            <w:gridSpan w:val="3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11928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 Основы трудового права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71"/>
          <w:tblHeader/>
        </w:trPr>
        <w:tc>
          <w:tcPr>
            <w:tcW w:w="2606" w:type="dxa"/>
            <w:vMerge w:val="restart"/>
          </w:tcPr>
          <w:p w:rsidR="005F216C" w:rsidRPr="005F216C" w:rsidRDefault="005F216C" w:rsidP="003C5D6E">
            <w:pPr>
              <w:pStyle w:val="affffff1"/>
              <w:spacing w:after="0" w:line="276" w:lineRule="auto"/>
              <w:contextualSpacing/>
              <w:rPr>
                <w:b/>
                <w:bCs/>
                <w:szCs w:val="24"/>
              </w:rPr>
            </w:pPr>
            <w:r w:rsidRPr="005F216C">
              <w:rPr>
                <w:b/>
                <w:bCs/>
                <w:szCs w:val="24"/>
              </w:rPr>
              <w:t xml:space="preserve">Тема 4.1 </w:t>
            </w:r>
            <w:r w:rsidRPr="005F216C">
              <w:rPr>
                <w:szCs w:val="24"/>
              </w:rPr>
              <w:t>Законодательные и нормативные правовые акты, регламентирующие трудовые правоотношения.</w:t>
            </w: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1" w:type="dxa"/>
            <w:gridSpan w:val="2"/>
            <w:vMerge w:val="restar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ОК 02,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03,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04,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 06,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5F216C" w:rsidRPr="005F216C" w:rsidTr="003C5D6E">
        <w:trPr>
          <w:cantSplit/>
          <w:trHeight w:val="278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  <w:lang w:eastAsia="en-US"/>
              </w:rPr>
              <w:t xml:space="preserve">Законодательные и нормативные правовые акты,  регламентирующие трудовые правоотношения. </w:t>
            </w:r>
          </w:p>
        </w:tc>
        <w:tc>
          <w:tcPr>
            <w:tcW w:w="1211" w:type="dxa"/>
            <w:gridSpan w:val="3"/>
            <w:vMerge w:val="restart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972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2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Понятие, стороны и содержание трудового договора. Виды трудовых договоров. Заключения трудового договора.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Cs w:val="24"/>
              </w:rPr>
              <w:t>Испытательный срок. Правовые гарантии в области оплаты труда.</w:t>
            </w:r>
          </w:p>
        </w:tc>
        <w:tc>
          <w:tcPr>
            <w:tcW w:w="1211" w:type="dxa"/>
            <w:gridSpan w:val="3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4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211" w:type="dxa"/>
            <w:gridSpan w:val="3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70"/>
          <w:tblHeader/>
        </w:trPr>
        <w:tc>
          <w:tcPr>
            <w:tcW w:w="2606" w:type="dxa"/>
            <w:vMerge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Составление трудового договора сотрудника службы информационной безопасности</w:t>
            </w:r>
          </w:p>
        </w:tc>
        <w:tc>
          <w:tcPr>
            <w:tcW w:w="1211" w:type="dxa"/>
            <w:gridSpan w:val="3"/>
            <w:vAlign w:val="center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70"/>
          <w:tblHeader/>
        </w:trPr>
        <w:tc>
          <w:tcPr>
            <w:tcW w:w="11928" w:type="dxa"/>
            <w:gridSpan w:val="2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учебной дисциплине</w:t>
            </w:r>
          </w:p>
        </w:tc>
        <w:tc>
          <w:tcPr>
            <w:tcW w:w="1211" w:type="dxa"/>
            <w:gridSpan w:val="3"/>
            <w:vAlign w:val="center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rPr>
          <w:cantSplit/>
          <w:trHeight w:val="20"/>
          <w:tblHeader/>
        </w:trPr>
        <w:tc>
          <w:tcPr>
            <w:tcW w:w="11928" w:type="dxa"/>
            <w:gridSpan w:val="2"/>
            <w:vAlign w:val="center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1" w:type="dxa"/>
            <w:gridSpan w:val="3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711" w:type="dxa"/>
            <w:gridSpan w:val="2"/>
          </w:tcPr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216C" w:rsidRPr="005F216C" w:rsidRDefault="005F216C" w:rsidP="005F216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widowControl w:val="0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  <w:sectPr w:rsidR="005F216C" w:rsidRPr="005F216C" w:rsidSect="00DF276E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5F216C" w:rsidRDefault="005F216C" w:rsidP="005F216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4E0167" w:rsidRPr="005F216C" w:rsidRDefault="004E0167" w:rsidP="005F216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ind w:firstLine="709"/>
        <w:contextualSpacing/>
        <w:rPr>
          <w:rFonts w:ascii="Times New Roman" w:hAnsi="Times New Roman"/>
          <w:b/>
          <w:bCs/>
        </w:rPr>
      </w:pPr>
      <w:r w:rsidRPr="005F216C">
        <w:rPr>
          <w:rFonts w:ascii="Times New Roman" w:hAnsi="Times New Roman"/>
          <w:b/>
          <w:bCs/>
        </w:rPr>
        <w:t xml:space="preserve">3.1. Для реализации программы учебной </w:t>
      </w:r>
      <w:r w:rsidR="004E0167" w:rsidRPr="005F216C">
        <w:rPr>
          <w:rFonts w:ascii="Times New Roman" w:hAnsi="Times New Roman"/>
          <w:b/>
          <w:bCs/>
        </w:rPr>
        <w:t>дисциплины должны</w:t>
      </w:r>
      <w:r w:rsidRPr="005F216C">
        <w:rPr>
          <w:rFonts w:ascii="Times New Roman" w:hAnsi="Times New Roman"/>
          <w:b/>
          <w:bCs/>
        </w:rPr>
        <w:t xml:space="preserve"> быть предусмотрены следующие специальные помещения:</w:t>
      </w:r>
    </w:p>
    <w:p w:rsidR="005F216C" w:rsidRPr="005F216C" w:rsidRDefault="005F216C" w:rsidP="005F2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216C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5F216C">
        <w:rPr>
          <w:rFonts w:ascii="Times New Roman" w:hAnsi="Times New Roman"/>
          <w:sz w:val="24"/>
          <w:szCs w:val="24"/>
        </w:rPr>
        <w:t>нормативного правового обеспечения информационной безопасности</w:t>
      </w:r>
      <w:r w:rsidRPr="005F216C">
        <w:rPr>
          <w:rFonts w:ascii="Times New Roman" w:hAnsi="Times New Roman"/>
          <w:bCs/>
          <w:sz w:val="24"/>
          <w:szCs w:val="24"/>
        </w:rPr>
        <w:t xml:space="preserve"> и лаборатории информационных технологий. </w:t>
      </w:r>
    </w:p>
    <w:p w:rsidR="005F216C" w:rsidRPr="005F216C" w:rsidRDefault="005F216C" w:rsidP="005F2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216C">
        <w:rPr>
          <w:rFonts w:ascii="Times New Roman" w:hAnsi="Times New Roman"/>
          <w:bCs/>
          <w:sz w:val="24"/>
          <w:szCs w:val="24"/>
        </w:rPr>
        <w:t>Оборудование учебного кабинета: персональный компьютер, подключение к сети Интернет, проектор, презентации уроков, стенды, плакаты, методические пособия, справочная правовая система.</w:t>
      </w:r>
    </w:p>
    <w:p w:rsidR="005F216C" w:rsidRDefault="005F216C" w:rsidP="005F216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216C">
        <w:rPr>
          <w:rFonts w:ascii="Times New Roman" w:hAnsi="Times New Roman"/>
          <w:bCs/>
          <w:sz w:val="24"/>
          <w:szCs w:val="24"/>
        </w:rPr>
        <w:t xml:space="preserve">Оборудование лаборатории информационных технологий: </w:t>
      </w:r>
      <w:r w:rsidRPr="005F216C">
        <w:rPr>
          <w:rFonts w:ascii="Times New Roman" w:hAnsi="Times New Roman"/>
          <w:sz w:val="24"/>
          <w:szCs w:val="24"/>
        </w:rPr>
        <w:t>рабочие места на базе вычислительной техники по одному рабочему месту на обучающегося, подключенными к локальной вычислительной сети и сети «Интернет»; программное обеспечение сетевого оборудования;</w:t>
      </w:r>
      <w:r w:rsidRPr="005F216C">
        <w:rPr>
          <w:rFonts w:ascii="Times New Roman" w:hAnsi="Times New Roman"/>
          <w:bCs/>
          <w:sz w:val="24"/>
          <w:szCs w:val="24"/>
        </w:rPr>
        <w:t xml:space="preserve"> мультимедийное оборудование; программное обеспечение (справочная правовая система).</w:t>
      </w:r>
    </w:p>
    <w:p w:rsidR="004E0167" w:rsidRDefault="004E0167" w:rsidP="005F216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4E0167" w:rsidRPr="00B82647" w:rsidTr="00F56342">
        <w:tc>
          <w:tcPr>
            <w:tcW w:w="540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</w:t>
            </w:r>
            <w:r w:rsidRPr="00B82647">
              <w:rPr>
                <w:szCs w:val="22"/>
                <w:lang w:val="en-US"/>
              </w:rPr>
              <w:t>-</w:t>
            </w:r>
            <w:r w:rsidRPr="00B82647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Дата установки</w:t>
            </w:r>
          </w:p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Техническое состояние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с р</w:t>
            </w:r>
            <w:r w:rsidRPr="00B82647">
              <w:rPr>
                <w:szCs w:val="22"/>
                <w:lang w:val="en-US"/>
              </w:rPr>
              <w:t>e</w:t>
            </w:r>
            <w:r w:rsidRPr="00B82647">
              <w:rPr>
                <w:szCs w:val="22"/>
              </w:rPr>
              <w:t>ч</w:t>
            </w:r>
            <w:r w:rsidRPr="00B82647">
              <w:rPr>
                <w:szCs w:val="22"/>
                <w:lang w:val="en-US"/>
              </w:rPr>
              <w:t>r</w:t>
            </w:r>
            <w:r w:rsidRPr="00B82647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b/>
                <w:szCs w:val="22"/>
              </w:rPr>
              <w:t>Компьютер в комплекте</w:t>
            </w:r>
            <w:r w:rsidRPr="00B82647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 24" </w:t>
            </w:r>
          </w:p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Клавиатура и мышь</w:t>
            </w:r>
          </w:p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Коммутатор </w:t>
            </w:r>
            <w:r w:rsidRPr="00B82647">
              <w:rPr>
                <w:szCs w:val="22"/>
                <w:lang w:val="en-US"/>
              </w:rPr>
              <w:t>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  <w:lang w:val="en-US"/>
              </w:rPr>
              <w:t xml:space="preserve">Ip </w:t>
            </w:r>
            <w:r w:rsidRPr="00B82647">
              <w:rPr>
                <w:szCs w:val="22"/>
              </w:rPr>
              <w:t>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</w:tr>
      <w:tr w:rsidR="004E0167" w:rsidRPr="00B82647" w:rsidTr="00F56342">
        <w:tc>
          <w:tcPr>
            <w:tcW w:w="540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Комплекс </w:t>
            </w:r>
            <w:r w:rsidRPr="00B82647">
              <w:rPr>
                <w:szCs w:val="22"/>
                <w:lang w:val="en-US"/>
              </w:rPr>
              <w:t>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</w:tbl>
    <w:p w:rsidR="004E0167" w:rsidRPr="00B82647" w:rsidRDefault="004E0167" w:rsidP="004E0167">
      <w:pPr>
        <w:pStyle w:val="affffffa"/>
        <w:rPr>
          <w:szCs w:val="22"/>
        </w:rPr>
      </w:pPr>
      <w:r w:rsidRPr="00B82647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количество</w:t>
            </w:r>
          </w:p>
        </w:tc>
      </w:tr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ПО VIPNET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</w:tr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ПО Dallos Lock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ПО SecretNET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7865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Антивирус Касперского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  <w:tr w:rsidR="004E0167" w:rsidRPr="00B82647" w:rsidTr="00F56342">
        <w:tc>
          <w:tcPr>
            <w:tcW w:w="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7865" w:type="dxa"/>
            <w:shd w:val="clear" w:color="auto" w:fill="auto"/>
          </w:tcPr>
          <w:p w:rsidR="004E0167" w:rsidRPr="00B82647" w:rsidRDefault="004E0167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>ПО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Офисный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пакет</w:t>
            </w:r>
            <w:r w:rsidRPr="00B82647">
              <w:rPr>
                <w:szCs w:val="22"/>
                <w:lang w:val="en-US"/>
              </w:rPr>
              <w:t xml:space="preserve"> (Word, Excel, PowerPoint)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0167" w:rsidRPr="00B82647" w:rsidRDefault="004E0167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</w:tbl>
    <w:p w:rsidR="004E0167" w:rsidRPr="00B82647" w:rsidRDefault="004E0167" w:rsidP="004E0167">
      <w:pPr>
        <w:pStyle w:val="affffffa"/>
        <w:rPr>
          <w:sz w:val="24"/>
          <w:szCs w:val="24"/>
        </w:rPr>
      </w:pPr>
      <w:r w:rsidRPr="00B82647">
        <w:rPr>
          <w:sz w:val="24"/>
          <w:szCs w:val="24"/>
        </w:rPr>
        <w:t xml:space="preserve">Имеется доступ к Серверам колледжа (1 </w:t>
      </w:r>
      <w:r w:rsidRPr="00B82647">
        <w:rPr>
          <w:sz w:val="24"/>
          <w:szCs w:val="24"/>
          <w:lang w:val="en-US"/>
        </w:rPr>
        <w:t>Gb</w:t>
      </w:r>
      <w:r w:rsidRPr="00B82647">
        <w:rPr>
          <w:sz w:val="24"/>
          <w:szCs w:val="24"/>
        </w:rPr>
        <w:t>), есть доступ к сети Интернет.</w:t>
      </w:r>
    </w:p>
    <w:p w:rsidR="004E0167" w:rsidRPr="005F216C" w:rsidRDefault="004E0167" w:rsidP="005F216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F216C" w:rsidRPr="005F216C" w:rsidRDefault="005F216C" w:rsidP="005F216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16C" w:rsidRPr="005F216C" w:rsidRDefault="005F216C" w:rsidP="005F216C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 xml:space="preserve">3.2. </w:t>
      </w:r>
      <w:r w:rsidRPr="005F216C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5F216C" w:rsidRPr="005F216C" w:rsidRDefault="005F216C" w:rsidP="005F216C">
      <w:pPr>
        <w:pStyle w:val="af"/>
        <w:tabs>
          <w:tab w:val="left" w:pos="1134"/>
        </w:tabs>
        <w:spacing w:before="0" w:after="0" w:line="276" w:lineRule="auto"/>
        <w:ind w:left="709" w:hanging="142"/>
        <w:contextualSpacing/>
        <w:jc w:val="both"/>
        <w:rPr>
          <w:b/>
          <w:bCs/>
        </w:rPr>
      </w:pPr>
      <w:r w:rsidRPr="005F216C">
        <w:rPr>
          <w:b/>
          <w:bCs/>
        </w:rPr>
        <w:t>3.2.1. Основные печатные источники:</w:t>
      </w:r>
    </w:p>
    <w:p w:rsidR="005F216C" w:rsidRPr="004E0167" w:rsidRDefault="005F216C" w:rsidP="004E016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Пржегорлинский В.Н. Организационно-правовое обеспечение информационной безопасности. –М.: </w:t>
      </w:r>
      <w:r w:rsidR="004E0167" w:rsidRPr="005F216C">
        <w:rPr>
          <w:rFonts w:ascii="Times New Roman" w:hAnsi="Times New Roman"/>
          <w:sz w:val="24"/>
          <w:szCs w:val="24"/>
        </w:rPr>
        <w:t>Академия</w:t>
      </w:r>
      <w:r w:rsidR="004E0167">
        <w:rPr>
          <w:rFonts w:ascii="Times New Roman" w:hAnsi="Times New Roman"/>
          <w:sz w:val="24"/>
          <w:szCs w:val="24"/>
        </w:rPr>
        <w:t>. 201</w:t>
      </w:r>
      <w:r w:rsidR="004E0167">
        <w:rPr>
          <w:rFonts w:ascii="Times New Roman" w:hAnsi="Times New Roman"/>
          <w:bCs/>
          <w:sz w:val="24"/>
          <w:szCs w:val="24"/>
        </w:rPr>
        <w:t>8</w:t>
      </w:r>
      <w:r w:rsidRPr="004E0167">
        <w:rPr>
          <w:rFonts w:ascii="Times New Roman" w:hAnsi="Times New Roman"/>
          <w:sz w:val="24"/>
          <w:szCs w:val="24"/>
        </w:rPr>
        <w:t>.</w:t>
      </w:r>
    </w:p>
    <w:p w:rsidR="005F216C" w:rsidRPr="005F216C" w:rsidRDefault="005F216C" w:rsidP="005F216C">
      <w:pPr>
        <w:pStyle w:val="af"/>
        <w:tabs>
          <w:tab w:val="left" w:pos="1134"/>
        </w:tabs>
        <w:spacing w:before="0" w:after="0" w:line="276" w:lineRule="auto"/>
        <w:ind w:left="0"/>
        <w:contextualSpacing/>
        <w:jc w:val="both"/>
        <w:rPr>
          <w:bCs/>
        </w:rPr>
      </w:pPr>
    </w:p>
    <w:p w:rsidR="005F216C" w:rsidRPr="005F216C" w:rsidRDefault="005F216C" w:rsidP="004E0167">
      <w:pPr>
        <w:pStyle w:val="af"/>
        <w:tabs>
          <w:tab w:val="left" w:pos="1134"/>
        </w:tabs>
        <w:spacing w:before="0" w:after="0" w:line="276" w:lineRule="auto"/>
        <w:ind w:left="0" w:firstLine="567"/>
        <w:contextualSpacing/>
        <w:jc w:val="both"/>
        <w:rPr>
          <w:b/>
          <w:bCs/>
        </w:rPr>
      </w:pPr>
      <w:r w:rsidRPr="005F216C">
        <w:rPr>
          <w:b/>
          <w:bCs/>
        </w:rPr>
        <w:t>3.2.2. Дополнительные печатные источники:</w:t>
      </w:r>
    </w:p>
    <w:p w:rsidR="005F216C" w:rsidRPr="005F216C" w:rsidRDefault="005F216C" w:rsidP="005F216C">
      <w:pPr>
        <w:pStyle w:val="af"/>
        <w:numPr>
          <w:ilvl w:val="0"/>
          <w:numId w:val="28"/>
        </w:numPr>
        <w:tabs>
          <w:tab w:val="left" w:pos="851"/>
          <w:tab w:val="left" w:pos="1134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5F216C">
        <w:rPr>
          <w:bCs/>
        </w:rPr>
        <w:t>Родичев Ю.А. Нормативная база и стандарты в области информационной безопасности. Учебное по</w:t>
      </w:r>
      <w:r w:rsidR="004E0167">
        <w:rPr>
          <w:bCs/>
        </w:rPr>
        <w:t>собие. – СПб.: Изд. Питер. 2019</w:t>
      </w:r>
      <w:r w:rsidRPr="005F216C">
        <w:rPr>
          <w:bCs/>
        </w:rPr>
        <w:t>.</w:t>
      </w:r>
    </w:p>
    <w:p w:rsidR="005F216C" w:rsidRPr="005F216C" w:rsidRDefault="005F216C" w:rsidP="005F216C">
      <w:pPr>
        <w:pStyle w:val="af"/>
        <w:numPr>
          <w:ilvl w:val="0"/>
          <w:numId w:val="28"/>
        </w:numPr>
        <w:tabs>
          <w:tab w:val="left" w:pos="851"/>
          <w:tab w:val="left" w:pos="993"/>
        </w:tabs>
        <w:spacing w:before="0" w:after="0" w:line="276" w:lineRule="auto"/>
        <w:ind w:left="0" w:firstLine="567"/>
        <w:contextualSpacing/>
        <w:jc w:val="both"/>
        <w:rPr>
          <w:bCs/>
        </w:rPr>
      </w:pPr>
      <w:r w:rsidRPr="005F216C">
        <w:rPr>
          <w:bCs/>
        </w:rPr>
        <w:t>Бубнов А.А., Пржегорлинский В.Н., Савинкин О.А. Основы информационной бе</w:t>
      </w:r>
      <w:r w:rsidR="004E0167">
        <w:rPr>
          <w:bCs/>
        </w:rPr>
        <w:t>зопасности.  – М.: Академия. 2018</w:t>
      </w:r>
      <w:r w:rsidRPr="005F216C">
        <w:rPr>
          <w:bCs/>
        </w:rPr>
        <w:t>.</w:t>
      </w:r>
    </w:p>
    <w:p w:rsidR="005F216C" w:rsidRPr="005F216C" w:rsidRDefault="005F216C" w:rsidP="005F216C">
      <w:pPr>
        <w:numPr>
          <w:ilvl w:val="0"/>
          <w:numId w:val="28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  <w:shd w:val="clear" w:color="auto" w:fill="FFFFFF"/>
        </w:rPr>
        <w:t>Организационно-правовое обеспечение информационной безопасности: учеб. Пособие для студентов вузов / под ред. А. А. Стрельцова. –</w:t>
      </w:r>
      <w:r w:rsidR="004E01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216C">
        <w:rPr>
          <w:rFonts w:ascii="Times New Roman" w:hAnsi="Times New Roman"/>
          <w:sz w:val="24"/>
          <w:szCs w:val="24"/>
          <w:shd w:val="clear" w:color="auto" w:fill="FFFFFF"/>
        </w:rPr>
        <w:t>М.: Изд. Центр «Академия»</w:t>
      </w:r>
      <w:r w:rsidR="004E0167">
        <w:rPr>
          <w:rFonts w:ascii="Times New Roman" w:hAnsi="Times New Roman"/>
          <w:sz w:val="24"/>
          <w:szCs w:val="24"/>
          <w:shd w:val="clear" w:color="auto" w:fill="FFFFFF"/>
        </w:rPr>
        <w:t>. 2019.</w:t>
      </w:r>
    </w:p>
    <w:p w:rsidR="005F216C" w:rsidRPr="005F216C" w:rsidRDefault="005F216C" w:rsidP="005F216C">
      <w:pPr>
        <w:numPr>
          <w:ilvl w:val="0"/>
          <w:numId w:val="28"/>
        </w:numPr>
        <w:tabs>
          <w:tab w:val="left" w:pos="360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>Жигулин Г.П. Организационное и правовое обеспечение информационной безопасности. – СПб: НИУ ИТМО, 201</w:t>
      </w:r>
      <w:r w:rsidR="004E0167">
        <w:rPr>
          <w:rFonts w:ascii="Times New Roman" w:hAnsi="Times New Roman"/>
          <w:sz w:val="24"/>
          <w:szCs w:val="24"/>
        </w:rPr>
        <w:t>8</w:t>
      </w:r>
      <w:r w:rsidRPr="005F216C">
        <w:rPr>
          <w:rFonts w:ascii="Times New Roman" w:hAnsi="Times New Roman"/>
          <w:sz w:val="24"/>
          <w:szCs w:val="24"/>
        </w:rPr>
        <w:t>.</w:t>
      </w:r>
    </w:p>
    <w:p w:rsidR="005F216C" w:rsidRPr="005F216C" w:rsidRDefault="005F216C" w:rsidP="005F216C">
      <w:pPr>
        <w:numPr>
          <w:ilvl w:val="0"/>
          <w:numId w:val="28"/>
        </w:numPr>
        <w:tabs>
          <w:tab w:val="left" w:pos="360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>Кармановский Н.С. и др. Организационно-правовое и методическое обеспечение информационной безопасности. – Учебное пособие.  — СПб: НИУ ИТМО, — 201</w:t>
      </w:r>
      <w:r w:rsidR="004E0167">
        <w:rPr>
          <w:rFonts w:ascii="Times New Roman" w:hAnsi="Times New Roman"/>
          <w:sz w:val="24"/>
          <w:szCs w:val="24"/>
        </w:rPr>
        <w:t>8</w:t>
      </w:r>
      <w:r w:rsidRPr="005F216C">
        <w:rPr>
          <w:rFonts w:ascii="Times New Roman" w:hAnsi="Times New Roman"/>
          <w:sz w:val="24"/>
          <w:szCs w:val="24"/>
        </w:rPr>
        <w:t>.</w:t>
      </w:r>
    </w:p>
    <w:p w:rsidR="005F216C" w:rsidRPr="005F216C" w:rsidRDefault="005F216C" w:rsidP="005F216C">
      <w:pPr>
        <w:tabs>
          <w:tab w:val="left" w:pos="360"/>
          <w:tab w:val="left" w:pos="720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16C" w:rsidRPr="005F216C" w:rsidRDefault="005F216C" w:rsidP="004E0167">
      <w:pPr>
        <w:pStyle w:val="af"/>
        <w:tabs>
          <w:tab w:val="left" w:pos="1134"/>
        </w:tabs>
        <w:spacing w:before="0" w:after="0" w:line="276" w:lineRule="auto"/>
        <w:ind w:left="0" w:firstLine="709"/>
        <w:contextualSpacing/>
        <w:jc w:val="both"/>
        <w:outlineLvl w:val="0"/>
        <w:rPr>
          <w:b/>
          <w:bCs/>
        </w:rPr>
      </w:pPr>
      <w:r w:rsidRPr="005F216C">
        <w:rPr>
          <w:b/>
          <w:bCs/>
        </w:rPr>
        <w:t>3.2.</w:t>
      </w:r>
      <w:r w:rsidR="004E0167" w:rsidRPr="005F216C">
        <w:rPr>
          <w:b/>
          <w:bCs/>
        </w:rPr>
        <w:t>3. Электронные</w:t>
      </w:r>
      <w:r w:rsidRPr="005F216C">
        <w:rPr>
          <w:b/>
          <w:bCs/>
        </w:rPr>
        <w:t xml:space="preserve"> источники:</w:t>
      </w:r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Электронная юстиция http://pravoinfo.su/magistratura_chapter2.html </w:t>
      </w:r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Сайт Совета Безопасности РФ </w:t>
      </w:r>
      <w:hyperlink r:id="rId10" w:history="1">
        <w:r w:rsidRPr="005F216C">
          <w:rPr>
            <w:rFonts w:ascii="Times New Roman" w:hAnsi="Times New Roman"/>
            <w:sz w:val="24"/>
            <w:szCs w:val="24"/>
          </w:rPr>
          <w:t>http://www.scrf.gov.ru/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Федеральная служба по техническому и экспортному контролю (ФСТЭК России) </w:t>
      </w:r>
      <w:hyperlink r:id="rId11" w:history="1">
        <w:r w:rsidRPr="005F216C">
          <w:rPr>
            <w:rFonts w:ascii="Times New Roman" w:hAnsi="Times New Roman"/>
            <w:sz w:val="24"/>
            <w:szCs w:val="24"/>
          </w:rPr>
          <w:t>www.fstec.ru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Образовательные порталы по различным направлениям образования и тематике http://depobr.gov35.ru/ </w:t>
      </w:r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Справочно-правовая система «Консультант Плюс» </w:t>
      </w:r>
      <w:hyperlink r:id="rId12" w:history="1">
        <w:r w:rsidRPr="005F216C">
          <w:rPr>
            <w:rFonts w:ascii="Times New Roman" w:hAnsi="Times New Roman"/>
            <w:sz w:val="24"/>
            <w:szCs w:val="24"/>
          </w:rPr>
          <w:t xml:space="preserve">www.consultant.ru 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Справочно-правовая система «Гарант» » </w:t>
      </w:r>
      <w:hyperlink r:id="rId13" w:history="1">
        <w:r w:rsidRPr="005F216C">
          <w:rPr>
            <w:rFonts w:ascii="Times New Roman" w:hAnsi="Times New Roman"/>
            <w:sz w:val="24"/>
            <w:szCs w:val="24"/>
          </w:rPr>
          <w:t xml:space="preserve">www.garant.ru 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>Федеральный портал «Российское образование</w:t>
      </w:r>
      <w:hyperlink r:id="rId14" w:history="1">
        <w:r w:rsidRPr="005F216C">
          <w:rPr>
            <w:rFonts w:ascii="Times New Roman" w:hAnsi="Times New Roman"/>
            <w:sz w:val="24"/>
            <w:szCs w:val="24"/>
          </w:rPr>
          <w:t xml:space="preserve"> www.edu.ru 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Федеральный правовой портал «Юридическая Россия» </w:t>
      </w:r>
      <w:r w:rsidRPr="004E0167">
        <w:rPr>
          <w:rFonts w:ascii="Times New Roman" w:hAnsi="Times New Roman"/>
          <w:sz w:val="24"/>
          <w:szCs w:val="24"/>
        </w:rPr>
        <w:t>http://www.law.edu.ru/</w:t>
      </w:r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Российский биометрический портал </w:t>
      </w:r>
      <w:hyperlink r:id="rId15" w:history="1">
        <w:r w:rsidRPr="005F216C">
          <w:rPr>
            <w:rFonts w:ascii="Times New Roman" w:hAnsi="Times New Roman"/>
            <w:sz w:val="24"/>
            <w:szCs w:val="24"/>
          </w:rPr>
          <w:t>www.biometrics.ru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>Федеральный портал «Информационно- коммуникационные технологии в образовании» htpp\\</w:t>
      </w:r>
      <w:hyperlink r:id="rId16" w:history="1">
        <w:r w:rsidRPr="005F216C">
          <w:rPr>
            <w:rFonts w:ascii="Times New Roman" w:hAnsi="Times New Roman"/>
            <w:sz w:val="24"/>
            <w:szCs w:val="24"/>
          </w:rPr>
          <w:t>:www.ict.edu.ru</w:t>
        </w:r>
      </w:hyperlink>
    </w:p>
    <w:p w:rsidR="005F216C" w:rsidRPr="005F216C" w:rsidRDefault="005F216C" w:rsidP="004E0167">
      <w:pPr>
        <w:numPr>
          <w:ilvl w:val="0"/>
          <w:numId w:val="29"/>
        </w:numPr>
        <w:tabs>
          <w:tab w:val="left" w:pos="360"/>
          <w:tab w:val="left" w:pos="567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16C">
        <w:rPr>
          <w:rFonts w:ascii="Times New Roman" w:hAnsi="Times New Roman"/>
          <w:sz w:val="24"/>
          <w:szCs w:val="24"/>
        </w:rPr>
        <w:t xml:space="preserve">Сайт Научной электронной библиотеки </w:t>
      </w:r>
      <w:hyperlink r:id="rId17" w:history="1">
        <w:r w:rsidRPr="005F216C">
          <w:rPr>
            <w:rFonts w:ascii="Times New Roman" w:hAnsi="Times New Roman"/>
            <w:sz w:val="24"/>
            <w:szCs w:val="24"/>
          </w:rPr>
          <w:t>www.elibrary.ru</w:t>
        </w:r>
      </w:hyperlink>
    </w:p>
    <w:p w:rsidR="005F216C" w:rsidRPr="005F216C" w:rsidRDefault="005F216C" w:rsidP="005F216C">
      <w:pPr>
        <w:tabs>
          <w:tab w:val="left" w:pos="360"/>
          <w:tab w:val="left" w:pos="72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16C" w:rsidRPr="005F216C" w:rsidRDefault="005F216C" w:rsidP="005F216C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2247"/>
        <w:gridCol w:w="2818"/>
      </w:tblGrid>
      <w:tr w:rsidR="005F216C" w:rsidRPr="005F216C" w:rsidTr="003C5D6E">
        <w:tc>
          <w:tcPr>
            <w:tcW w:w="2290" w:type="pc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02" w:type="pc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5F216C" w:rsidRPr="005F216C" w:rsidRDefault="005F216C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5F216C" w:rsidRPr="005F216C" w:rsidTr="003C5D6E">
        <w:tc>
          <w:tcPr>
            <w:tcW w:w="2290" w:type="pct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основные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правовые основы организации защиты информации, содержащей сведения, составляющие государственную тайну и информации конфиденциального характера, задачи органов защиты государственной тайны;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нормативные документы в области обеспечения защиты информации ограниченного доступа;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организацию ремонтного обслуживания аппаратуры и средств защиты информации;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принципы и методы организационной защиты информации, организационное обеспечение информационной безопасности в организации;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правовое положение субъектов правоотношений в сфере профессиональной деятельности (включая предпринимательскую деятельность);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нормативные методические документы, регламентирующие порядок выполнения мероприятий по защите информации, обрабатываемой в автоматизированной (информационной) системе;</w:t>
            </w:r>
          </w:p>
          <w:p w:rsidR="005F216C" w:rsidRPr="005F216C" w:rsidRDefault="005F216C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6C">
              <w:rPr>
                <w:rFonts w:ascii="Times New Roman" w:hAnsi="Times New Roman"/>
                <w:sz w:val="24"/>
                <w:szCs w:val="24"/>
              </w:rPr>
              <w:lastRenderedPageBreak/>
              <w:t>– законодательные и нормативные правовые акты, регламентирующие трудовые правоотношения.</w:t>
            </w:r>
          </w:p>
        </w:tc>
        <w:tc>
          <w:tcPr>
            <w:tcW w:w="1202" w:type="pct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устных ответов обучающихся.</w:t>
            </w:r>
          </w:p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Оценка контрольных работ.</w:t>
            </w:r>
          </w:p>
        </w:tc>
        <w:tc>
          <w:tcPr>
            <w:tcW w:w="1508" w:type="pct"/>
          </w:tcPr>
          <w:p w:rsidR="005F216C" w:rsidRPr="005F216C" w:rsidRDefault="005F216C" w:rsidP="003C5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Устное и письменное выполнение индивидуальных практических работ,</w:t>
            </w:r>
          </w:p>
          <w:p w:rsidR="005F216C" w:rsidRPr="005F216C" w:rsidRDefault="005F216C" w:rsidP="003C5D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решение тестовых заданий.</w:t>
            </w:r>
          </w:p>
          <w:p w:rsidR="005F216C" w:rsidRPr="005F216C" w:rsidRDefault="005F216C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16C" w:rsidRPr="005F216C" w:rsidTr="003C5D6E">
        <w:tc>
          <w:tcPr>
            <w:tcW w:w="2290" w:type="pct"/>
          </w:tcPr>
          <w:p w:rsidR="005F216C" w:rsidRPr="005F216C" w:rsidRDefault="005F216C" w:rsidP="003C5D6E">
            <w:pPr>
              <w:pStyle w:val="ConsPlusNormal"/>
              <w:spacing w:line="276" w:lineRule="auto"/>
              <w:ind w:firstLine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Умения: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осуществлять организационное обеспечение информационной безопасности автоматизированных (информационных) систем в рамках должностных обязанностей техника по защите информации;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применять нормативные правовые акты и нормативные методические документы в области защиты информации;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контролировать соблюдение персоналом требований по защите информации при ее обработке с использованием средств вычислительной техники;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оформлять документацию по регламентации мероприятий и оказанию услуг в области защиты информации;</w:t>
            </w:r>
          </w:p>
          <w:p w:rsidR="005F216C" w:rsidRPr="005F216C" w:rsidRDefault="005F216C" w:rsidP="003C5D6E">
            <w:pPr>
              <w:pStyle w:val="ConsPlusNormal"/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C">
              <w:rPr>
                <w:rFonts w:ascii="Times New Roman" w:hAnsi="Times New Roman" w:cs="Times New Roman"/>
                <w:sz w:val="24"/>
                <w:szCs w:val="24"/>
              </w:rPr>
              <w:t>– защищать свои права в соответствии с трудовым законодательством;</w:t>
            </w:r>
          </w:p>
        </w:tc>
        <w:tc>
          <w:tcPr>
            <w:tcW w:w="1202" w:type="pct"/>
          </w:tcPr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 в соответствии с заданием</w:t>
            </w:r>
          </w:p>
        </w:tc>
        <w:tc>
          <w:tcPr>
            <w:tcW w:w="1508" w:type="pct"/>
          </w:tcPr>
          <w:p w:rsidR="005F216C" w:rsidRPr="005F216C" w:rsidRDefault="005F216C" w:rsidP="003C5D6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5F216C" w:rsidRPr="005F216C" w:rsidRDefault="005F216C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F216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выполнением работ.</w:t>
            </w:r>
          </w:p>
        </w:tc>
      </w:tr>
    </w:tbl>
    <w:p w:rsidR="007018D3" w:rsidRPr="005F216C" w:rsidRDefault="007018D3" w:rsidP="007018D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018D3" w:rsidRPr="005F216C" w:rsidRDefault="007018D3" w:rsidP="007018D3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066A6" w:rsidRPr="005F216C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5F216C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F216C">
        <w:rPr>
          <w:rFonts w:ascii="Times New Roman" w:hAnsi="Times New Roman"/>
          <w:b/>
          <w:sz w:val="24"/>
          <w:szCs w:val="24"/>
        </w:rPr>
        <w:tab/>
      </w:r>
    </w:p>
    <w:sectPr w:rsidR="00F066A6" w:rsidRPr="005F216C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8C" w:rsidRDefault="00B4158C" w:rsidP="001A3F37">
      <w:pPr>
        <w:spacing w:after="0" w:line="240" w:lineRule="auto"/>
      </w:pPr>
      <w:r>
        <w:separator/>
      </w:r>
    </w:p>
  </w:endnote>
  <w:endnote w:type="continuationSeparator" w:id="0">
    <w:p w:rsidR="00B4158C" w:rsidRDefault="00B4158C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8C" w:rsidRDefault="00B4158C" w:rsidP="001A3F37">
      <w:pPr>
        <w:spacing w:after="0" w:line="240" w:lineRule="auto"/>
      </w:pPr>
      <w:r>
        <w:separator/>
      </w:r>
    </w:p>
  </w:footnote>
  <w:footnote w:type="continuationSeparator" w:id="0">
    <w:p w:rsidR="00B4158C" w:rsidRDefault="00B4158C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999">
      <w:rPr>
        <w:noProof/>
      </w:rPr>
      <w:t>12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1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7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21"/>
  </w:num>
  <w:num w:numId="10">
    <w:abstractNumId w:val="0"/>
  </w:num>
  <w:num w:numId="11">
    <w:abstractNumId w:val="16"/>
  </w:num>
  <w:num w:numId="12">
    <w:abstractNumId w:val="5"/>
  </w:num>
  <w:num w:numId="13">
    <w:abstractNumId w:val="14"/>
  </w:num>
  <w:num w:numId="14">
    <w:abstractNumId w:val="13"/>
  </w:num>
  <w:num w:numId="15">
    <w:abstractNumId w:val="25"/>
  </w:num>
  <w:num w:numId="16">
    <w:abstractNumId w:val="15"/>
  </w:num>
  <w:num w:numId="17">
    <w:abstractNumId w:val="3"/>
  </w:num>
  <w:num w:numId="18">
    <w:abstractNumId w:val="28"/>
  </w:num>
  <w:num w:numId="19">
    <w:abstractNumId w:val="24"/>
  </w:num>
  <w:num w:numId="20">
    <w:abstractNumId w:val="2"/>
  </w:num>
  <w:num w:numId="21">
    <w:abstractNumId w:val="9"/>
  </w:num>
  <w:num w:numId="22">
    <w:abstractNumId w:val="7"/>
  </w:num>
  <w:num w:numId="23">
    <w:abstractNumId w:val="1"/>
  </w:num>
  <w:num w:numId="24">
    <w:abstractNumId w:val="12"/>
  </w:num>
  <w:num w:numId="25">
    <w:abstractNumId w:val="19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146047"/>
    <w:rsid w:val="001A2331"/>
    <w:rsid w:val="001A3F37"/>
    <w:rsid w:val="001F1C0B"/>
    <w:rsid w:val="00232104"/>
    <w:rsid w:val="00237D28"/>
    <w:rsid w:val="002F1E32"/>
    <w:rsid w:val="003377EF"/>
    <w:rsid w:val="003A7C60"/>
    <w:rsid w:val="003F5B56"/>
    <w:rsid w:val="004160FB"/>
    <w:rsid w:val="004E0167"/>
    <w:rsid w:val="004E4E4A"/>
    <w:rsid w:val="00572AC9"/>
    <w:rsid w:val="005F216C"/>
    <w:rsid w:val="00631069"/>
    <w:rsid w:val="006413C8"/>
    <w:rsid w:val="00654DEB"/>
    <w:rsid w:val="006B5853"/>
    <w:rsid w:val="007018D3"/>
    <w:rsid w:val="007370CE"/>
    <w:rsid w:val="007737C9"/>
    <w:rsid w:val="007F2E45"/>
    <w:rsid w:val="0082242F"/>
    <w:rsid w:val="008B3D7E"/>
    <w:rsid w:val="0094139E"/>
    <w:rsid w:val="00AB1B01"/>
    <w:rsid w:val="00B4158C"/>
    <w:rsid w:val="00BE56E4"/>
    <w:rsid w:val="00BF452E"/>
    <w:rsid w:val="00CD5879"/>
    <w:rsid w:val="00DB3999"/>
    <w:rsid w:val="00E503ED"/>
    <w:rsid w:val="00E528CA"/>
    <w:rsid w:val="00F066A6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arant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e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metric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rf.gov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E70F-5589-4EF5-B651-4BFDF32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24</cp:revision>
  <cp:lastPrinted>2021-01-20T01:48:00Z</cp:lastPrinted>
  <dcterms:created xsi:type="dcterms:W3CDTF">2020-11-02T00:53:00Z</dcterms:created>
  <dcterms:modified xsi:type="dcterms:W3CDTF">2021-02-18T06:19:00Z</dcterms:modified>
</cp:coreProperties>
</file>